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E928" w14:textId="17CEE9E8" w:rsidR="00AE7773" w:rsidRPr="0031161D" w:rsidRDefault="00AE7773" w:rsidP="10C197DD">
      <w:pPr>
        <w:ind w:firstLine="0"/>
        <w:jc w:val="right"/>
      </w:pPr>
      <w:r w:rsidRPr="0031161D">
        <w:rPr>
          <w:rFonts w:ascii="Calibri" w:hAnsi="Calibri" w:cs="Calibri"/>
          <w:b/>
          <w:noProof/>
          <w:sz w:val="22"/>
        </w:rPr>
        <w:drawing>
          <wp:anchor distT="0" distB="0" distL="114300" distR="114300" simplePos="0" relativeHeight="251658752" behindDoc="0" locked="0" layoutInCell="1" allowOverlap="1" wp14:anchorId="3862920D" wp14:editId="67BD6049">
            <wp:simplePos x="0" y="0"/>
            <wp:positionH relativeFrom="column">
              <wp:posOffset>44450</wp:posOffset>
            </wp:positionH>
            <wp:positionV relativeFrom="paragraph">
              <wp:posOffset>82550</wp:posOffset>
            </wp:positionV>
            <wp:extent cx="2139315" cy="647700"/>
            <wp:effectExtent l="0" t="0" r="0" b="0"/>
            <wp:wrapThrough wrapText="bothSides">
              <wp:wrapPolygon edited="0">
                <wp:start x="0" y="0"/>
                <wp:lineTo x="0" y="20965"/>
                <wp:lineTo x="21350" y="20965"/>
                <wp:lineTo x="21350" y="0"/>
                <wp:lineTo x="0" y="0"/>
              </wp:wrapPolygon>
            </wp:wrapThrough>
            <wp:docPr id="182858016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80163" name="Picture 1" descr="A white text on a black background&#10;&#10;Description automatically generated"/>
                    <pic:cNvPicPr/>
                  </pic:nvPicPr>
                  <pic:blipFill>
                    <a:blip r:embed="rId10"/>
                    <a:stretch>
                      <a:fillRect/>
                    </a:stretch>
                  </pic:blipFill>
                  <pic:spPr>
                    <a:xfrm>
                      <a:off x="0" y="0"/>
                      <a:ext cx="2139315" cy="647700"/>
                    </a:xfrm>
                    <a:prstGeom prst="rect">
                      <a:avLst/>
                    </a:prstGeom>
                  </pic:spPr>
                </pic:pic>
              </a:graphicData>
            </a:graphic>
            <wp14:sizeRelH relativeFrom="margin">
              <wp14:pctWidth>0</wp14:pctWidth>
            </wp14:sizeRelH>
            <wp14:sizeRelV relativeFrom="margin">
              <wp14:pctHeight>0</wp14:pctHeight>
            </wp14:sizeRelV>
          </wp:anchor>
        </w:drawing>
      </w:r>
      <w:r w:rsidR="2B9E13AA">
        <w:t xml:space="preserve"> </w:t>
      </w:r>
      <w:r w:rsidR="2B9E13AA">
        <w:rPr>
          <w:noProof/>
        </w:rPr>
        <w:drawing>
          <wp:inline distT="0" distB="0" distL="0" distR="0" wp14:anchorId="46115A71" wp14:editId="461DF2CE">
            <wp:extent cx="3010055" cy="765443"/>
            <wp:effectExtent l="0" t="0" r="0" b="0"/>
            <wp:docPr id="16485853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85390" name=""/>
                    <pic:cNvPicPr/>
                  </pic:nvPicPr>
                  <pic:blipFill>
                    <a:blip r:embed="rId11">
                      <a:extLst>
                        <a:ext uri="{28A0092B-C50C-407E-A947-70E740481C1C}">
                          <a14:useLocalDpi xmlns:a14="http://schemas.microsoft.com/office/drawing/2010/main"/>
                        </a:ext>
                      </a:extLst>
                    </a:blip>
                    <a:stretch>
                      <a:fillRect/>
                    </a:stretch>
                  </pic:blipFill>
                  <pic:spPr>
                    <a:xfrm>
                      <a:off x="0" y="0"/>
                      <a:ext cx="3010055" cy="765443"/>
                    </a:xfrm>
                    <a:prstGeom prst="rect">
                      <a:avLst/>
                    </a:prstGeom>
                  </pic:spPr>
                </pic:pic>
              </a:graphicData>
            </a:graphic>
          </wp:inline>
        </w:drawing>
      </w:r>
    </w:p>
    <w:p w14:paraId="5CFA743F" w14:textId="77777777" w:rsidR="007807DB" w:rsidRPr="0031161D" w:rsidRDefault="007807DB" w:rsidP="00AE7773">
      <w:pPr>
        <w:ind w:firstLine="0"/>
        <w:rPr>
          <w:rFonts w:ascii="Calibri" w:hAnsi="Calibri" w:cs="Calibri"/>
          <w:b/>
          <w:bCs/>
          <w:sz w:val="22"/>
          <w:u w:val="single"/>
        </w:rPr>
      </w:pPr>
    </w:p>
    <w:p w14:paraId="240958CF" w14:textId="77777777" w:rsidR="00AE7773" w:rsidRPr="0031161D" w:rsidRDefault="00AE7773" w:rsidP="00AE7773">
      <w:pPr>
        <w:ind w:firstLine="0"/>
        <w:rPr>
          <w:rFonts w:ascii="Calibri" w:hAnsi="Calibri" w:cs="Calibri"/>
          <w:b/>
          <w:bCs/>
          <w:sz w:val="22"/>
          <w:u w:val="single"/>
        </w:rPr>
      </w:pPr>
    </w:p>
    <w:p w14:paraId="15A0B64C" w14:textId="77777777" w:rsidR="00AE7773" w:rsidRPr="0031161D" w:rsidRDefault="00AE7773" w:rsidP="10C197DD">
      <w:pPr>
        <w:ind w:firstLine="0"/>
        <w:jc w:val="center"/>
        <w:rPr>
          <w:rFonts w:asciiTheme="minorHAnsi" w:eastAsiaTheme="minorEastAsia" w:hAnsiTheme="minorHAnsi"/>
          <w:b/>
          <w:bCs/>
          <w:sz w:val="22"/>
          <w:u w:val="single"/>
        </w:rPr>
      </w:pPr>
      <w:r w:rsidRPr="10C197DD">
        <w:rPr>
          <w:rFonts w:asciiTheme="minorHAnsi" w:eastAsiaTheme="minorEastAsia" w:hAnsiTheme="minorHAnsi"/>
          <w:b/>
          <w:bCs/>
          <w:sz w:val="22"/>
          <w:u w:val="single"/>
        </w:rPr>
        <w:t>TECHNE COMPLAINTS/APPEALS PROCEDURE</w:t>
      </w:r>
    </w:p>
    <w:p w14:paraId="517E44D2" w14:textId="77777777" w:rsidR="00AE7773" w:rsidRPr="0031161D" w:rsidRDefault="00AE7773" w:rsidP="10C197DD">
      <w:pPr>
        <w:ind w:firstLine="0"/>
        <w:rPr>
          <w:rFonts w:asciiTheme="minorHAnsi" w:eastAsiaTheme="minorEastAsia" w:hAnsiTheme="minorHAnsi"/>
          <w:sz w:val="22"/>
        </w:rPr>
      </w:pPr>
    </w:p>
    <w:p w14:paraId="74230381" w14:textId="3601A6B2" w:rsidR="00AE7773" w:rsidRPr="00571E53" w:rsidRDefault="00AE7773"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 xml:space="preserve">Techne Doctoral Training Partnership (DTP) is funded by UK Research and Innovation (UKRI) via the Arts Humanities Research Council (AHRC). It is a collaboration of nine Universities that is committed to recruiting, supporting and offering training to its students in an open and transparent manner </w:t>
      </w:r>
      <w:r w:rsidR="003C11C9" w:rsidRPr="10C197DD">
        <w:rPr>
          <w:rFonts w:asciiTheme="minorHAnsi" w:eastAsiaTheme="minorEastAsia" w:hAnsiTheme="minorHAnsi"/>
          <w:sz w:val="22"/>
        </w:rPr>
        <w:t>which strives</w:t>
      </w:r>
      <w:r w:rsidRPr="10C197DD">
        <w:rPr>
          <w:rFonts w:asciiTheme="minorHAnsi" w:eastAsiaTheme="minorEastAsia" w:hAnsiTheme="minorHAnsi"/>
          <w:sz w:val="22"/>
        </w:rPr>
        <w:t xml:space="preserve"> to uphold and apply EDI principles in line with its Values Statement. </w:t>
      </w:r>
    </w:p>
    <w:p w14:paraId="7E4A562F" w14:textId="77777777" w:rsidR="00AE7773" w:rsidRPr="0031161D" w:rsidRDefault="00AE7773" w:rsidP="10C197DD">
      <w:pPr>
        <w:ind w:firstLine="0"/>
        <w:rPr>
          <w:rFonts w:asciiTheme="minorHAnsi" w:eastAsiaTheme="minorEastAsia" w:hAnsiTheme="minorHAnsi"/>
          <w:b/>
          <w:bCs/>
          <w:sz w:val="22"/>
          <w:u w:val="single"/>
        </w:rPr>
      </w:pPr>
    </w:p>
    <w:p w14:paraId="314E71ED" w14:textId="7768752D" w:rsidR="00AE7773" w:rsidRPr="0031161D" w:rsidRDefault="00AE7773" w:rsidP="10C197DD">
      <w:pPr>
        <w:ind w:firstLine="0"/>
        <w:rPr>
          <w:rFonts w:asciiTheme="minorHAnsi" w:eastAsiaTheme="minorEastAsia" w:hAnsiTheme="minorHAnsi"/>
          <w:b/>
          <w:bCs/>
          <w:sz w:val="22"/>
          <w:u w:val="single"/>
        </w:rPr>
      </w:pPr>
      <w:r w:rsidRPr="10C197DD">
        <w:rPr>
          <w:rFonts w:asciiTheme="minorHAnsi" w:eastAsiaTheme="minorEastAsia" w:hAnsiTheme="minorHAnsi"/>
          <w:b/>
          <w:bCs/>
          <w:sz w:val="22"/>
          <w:u w:val="single"/>
        </w:rPr>
        <w:t>Scope of this Procedure</w:t>
      </w:r>
    </w:p>
    <w:p w14:paraId="4C6EB2D8" w14:textId="065A524E" w:rsidR="00571E53" w:rsidRDefault="00AE7773" w:rsidP="10C197DD">
      <w:pPr>
        <w:pStyle w:val="NoSpacing"/>
        <w:ind w:firstLine="0"/>
        <w:jc w:val="both"/>
        <w:rPr>
          <w:rFonts w:asciiTheme="minorHAnsi" w:eastAsiaTheme="minorEastAsia" w:hAnsiTheme="minorHAnsi"/>
          <w:sz w:val="22"/>
        </w:rPr>
      </w:pPr>
      <w:r w:rsidRPr="4ED0DDD5">
        <w:rPr>
          <w:rFonts w:asciiTheme="minorHAnsi" w:eastAsiaTheme="minorEastAsia" w:hAnsiTheme="minorHAnsi"/>
          <w:sz w:val="22"/>
        </w:rPr>
        <w:t xml:space="preserve">Please contact the Techne Manager (techne@rhul.ac.uk) if you have a complaint about the conduct of Techne staff or wish to appeal a funding decision relating to extensions to your studentship or any other Techne additional funding, including Research Training Support Grant (RTSG), Career Enhancing Activity (CEA) and Research Enhancement Activity (REA).  </w:t>
      </w:r>
      <w:r w:rsidR="2971C259" w:rsidRPr="4ED0DDD5">
        <w:rPr>
          <w:rFonts w:asciiTheme="minorHAnsi" w:eastAsiaTheme="minorEastAsia" w:hAnsiTheme="minorHAnsi"/>
          <w:sz w:val="22"/>
        </w:rPr>
        <w:t>Please note that decisions on funding can only be changed if they fall within the scope of the AHRC/UKRI Term</w:t>
      </w:r>
      <w:r w:rsidR="380B23C4" w:rsidRPr="4ED0DDD5">
        <w:rPr>
          <w:rFonts w:asciiTheme="minorHAnsi" w:eastAsiaTheme="minorEastAsia" w:hAnsiTheme="minorHAnsi"/>
          <w:sz w:val="22"/>
        </w:rPr>
        <w:t>s and Conditions.</w:t>
      </w:r>
    </w:p>
    <w:p w14:paraId="394F77B6" w14:textId="77777777" w:rsidR="00571E53" w:rsidRDefault="00571E53" w:rsidP="10C197DD">
      <w:pPr>
        <w:pStyle w:val="NoSpacing"/>
        <w:ind w:firstLine="0"/>
        <w:jc w:val="both"/>
        <w:rPr>
          <w:rFonts w:asciiTheme="minorHAnsi" w:eastAsiaTheme="minorEastAsia" w:hAnsiTheme="minorHAnsi"/>
          <w:sz w:val="22"/>
        </w:rPr>
      </w:pPr>
    </w:p>
    <w:p w14:paraId="5E094080" w14:textId="4DCFD5F2" w:rsidR="0031161D" w:rsidRPr="0031161D" w:rsidRDefault="0031161D"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 xml:space="preserve">Techne will resolve complaints/appeals as confidentially as possible and all information will be dealt with in accordance with the requirements of the UK General Data Protection Act (UK GDPR) and the Data Protection Act (2018).   </w:t>
      </w:r>
    </w:p>
    <w:p w14:paraId="50F13351" w14:textId="77777777" w:rsidR="0031161D" w:rsidRPr="0031161D" w:rsidRDefault="0031161D" w:rsidP="10C197DD">
      <w:pPr>
        <w:ind w:firstLine="0"/>
        <w:jc w:val="both"/>
        <w:rPr>
          <w:rFonts w:asciiTheme="minorHAnsi" w:eastAsiaTheme="minorEastAsia" w:hAnsiTheme="minorHAnsi"/>
          <w:sz w:val="22"/>
        </w:rPr>
      </w:pPr>
    </w:p>
    <w:p w14:paraId="37DB1C5A" w14:textId="6BDB7AF7" w:rsidR="0031161D" w:rsidRPr="00571E53" w:rsidRDefault="0031161D"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 xml:space="preserve">Students should follow the Complaints Procedure in their home institution for matters relating to supervision; institutional training; resources; consideration of interruptions to study and all matters relating to progression, including upgrades.  </w:t>
      </w:r>
    </w:p>
    <w:p w14:paraId="151932F4" w14:textId="77777777" w:rsidR="00AE7773" w:rsidRPr="0031161D" w:rsidRDefault="00AE7773" w:rsidP="10C197DD">
      <w:pPr>
        <w:ind w:firstLine="0"/>
        <w:rPr>
          <w:rFonts w:asciiTheme="minorHAnsi" w:eastAsiaTheme="minorEastAsia" w:hAnsiTheme="minorHAnsi"/>
          <w:sz w:val="22"/>
        </w:rPr>
      </w:pPr>
    </w:p>
    <w:p w14:paraId="02C47936" w14:textId="472A944A" w:rsidR="00AE7773" w:rsidRPr="0031161D" w:rsidRDefault="00AE7773" w:rsidP="10C197DD">
      <w:pPr>
        <w:ind w:firstLine="0"/>
        <w:jc w:val="both"/>
        <w:rPr>
          <w:rFonts w:asciiTheme="minorHAnsi" w:eastAsiaTheme="minorEastAsia" w:hAnsiTheme="minorHAnsi"/>
          <w:sz w:val="22"/>
        </w:rPr>
      </w:pPr>
      <w:r w:rsidRPr="10C197DD">
        <w:rPr>
          <w:rFonts w:asciiTheme="minorHAnsi" w:eastAsiaTheme="minorEastAsia" w:hAnsiTheme="minorHAnsi"/>
          <w:sz w:val="22"/>
        </w:rPr>
        <w:t xml:space="preserve">If you are unsure whether to contact Techne or your home institution, please contact Techne for advice. </w:t>
      </w:r>
    </w:p>
    <w:p w14:paraId="466AB36E" w14:textId="77777777" w:rsidR="00AE7773" w:rsidRPr="0031161D" w:rsidRDefault="00AE7773" w:rsidP="10C197DD">
      <w:pPr>
        <w:ind w:firstLine="0"/>
        <w:rPr>
          <w:rFonts w:asciiTheme="minorHAnsi" w:eastAsiaTheme="minorEastAsia" w:hAnsiTheme="minorHAnsi"/>
          <w:sz w:val="22"/>
        </w:rPr>
      </w:pPr>
    </w:p>
    <w:p w14:paraId="06726041" w14:textId="77777777" w:rsidR="00AE7773" w:rsidRPr="0031161D" w:rsidRDefault="00AE7773" w:rsidP="10C197DD">
      <w:pPr>
        <w:ind w:firstLine="0"/>
        <w:rPr>
          <w:rFonts w:asciiTheme="minorHAnsi" w:eastAsiaTheme="minorEastAsia" w:hAnsiTheme="minorHAnsi"/>
          <w:b/>
          <w:bCs/>
          <w:sz w:val="22"/>
          <w:u w:val="single"/>
        </w:rPr>
      </w:pPr>
      <w:r w:rsidRPr="10C197DD">
        <w:rPr>
          <w:rFonts w:asciiTheme="minorHAnsi" w:eastAsiaTheme="minorEastAsia" w:hAnsiTheme="minorHAnsi"/>
          <w:b/>
          <w:bCs/>
          <w:sz w:val="22"/>
          <w:u w:val="single"/>
        </w:rPr>
        <w:t>Definitions</w:t>
      </w:r>
    </w:p>
    <w:p w14:paraId="6CE34732" w14:textId="77777777" w:rsidR="00AE7773" w:rsidRPr="0031161D" w:rsidRDefault="00AE7773" w:rsidP="10C197DD">
      <w:pPr>
        <w:ind w:firstLine="0"/>
        <w:rPr>
          <w:rFonts w:asciiTheme="minorHAnsi" w:eastAsiaTheme="minorEastAsia" w:hAnsiTheme="minorHAnsi"/>
          <w:sz w:val="22"/>
        </w:rPr>
      </w:pPr>
      <w:r w:rsidRPr="10C197DD">
        <w:rPr>
          <w:rFonts w:asciiTheme="minorHAnsi" w:eastAsiaTheme="minorEastAsia" w:hAnsiTheme="minorHAnsi"/>
          <w:sz w:val="22"/>
        </w:rPr>
        <w:t xml:space="preserve">For the purposes of this document: </w:t>
      </w:r>
    </w:p>
    <w:p w14:paraId="662F4219" w14:textId="77777777" w:rsidR="00AE7773" w:rsidRPr="0031161D" w:rsidRDefault="00AE7773" w:rsidP="10C197DD">
      <w:pPr>
        <w:ind w:firstLine="0"/>
        <w:rPr>
          <w:rFonts w:asciiTheme="minorHAnsi" w:eastAsiaTheme="minorEastAsia" w:hAnsiTheme="minorHAnsi"/>
          <w:sz w:val="22"/>
        </w:rPr>
      </w:pPr>
      <w:r w:rsidRPr="10C197DD">
        <w:rPr>
          <w:rFonts w:asciiTheme="minorHAnsi" w:eastAsiaTheme="minorEastAsia" w:hAnsiTheme="minorHAnsi"/>
          <w:sz w:val="22"/>
        </w:rPr>
        <w:t xml:space="preserve">1. A complaint is defined as an expression of dissatisfaction around the standard of service, behaviour, action or lack of action by or on behalf of Techne. </w:t>
      </w:r>
    </w:p>
    <w:p w14:paraId="3E079984" w14:textId="77777777" w:rsidR="00AE7773" w:rsidRPr="0031161D" w:rsidRDefault="00AE7773" w:rsidP="10C197DD">
      <w:pPr>
        <w:ind w:firstLine="0"/>
        <w:rPr>
          <w:rFonts w:asciiTheme="minorHAnsi" w:eastAsiaTheme="minorEastAsia" w:hAnsiTheme="minorHAnsi"/>
          <w:sz w:val="22"/>
        </w:rPr>
      </w:pPr>
      <w:r w:rsidRPr="10C197DD">
        <w:rPr>
          <w:rFonts w:asciiTheme="minorHAnsi" w:eastAsiaTheme="minorEastAsia" w:hAnsiTheme="minorHAnsi"/>
          <w:sz w:val="22"/>
        </w:rPr>
        <w:t xml:space="preserve">2. The applicant is the person making the complaint/appeal. </w:t>
      </w:r>
    </w:p>
    <w:p w14:paraId="44992E07" w14:textId="0F457A10" w:rsidR="00AE7773" w:rsidRPr="0031161D" w:rsidRDefault="00AE7773" w:rsidP="10C197DD">
      <w:pPr>
        <w:ind w:firstLine="0"/>
        <w:rPr>
          <w:rFonts w:asciiTheme="minorHAnsi" w:eastAsiaTheme="minorEastAsia" w:hAnsiTheme="minorHAnsi"/>
          <w:sz w:val="22"/>
        </w:rPr>
      </w:pPr>
      <w:r w:rsidRPr="10C197DD">
        <w:rPr>
          <w:rFonts w:asciiTheme="minorHAnsi" w:eastAsiaTheme="minorEastAsia" w:hAnsiTheme="minorHAnsi"/>
          <w:sz w:val="22"/>
        </w:rPr>
        <w:t xml:space="preserve">3. An appeal is a formal process for reconsidering an official decision on </w:t>
      </w:r>
      <w:r w:rsidR="0031161D" w:rsidRPr="10C197DD">
        <w:rPr>
          <w:rFonts w:asciiTheme="minorHAnsi" w:eastAsiaTheme="minorEastAsia" w:hAnsiTheme="minorHAnsi"/>
          <w:sz w:val="22"/>
        </w:rPr>
        <w:t xml:space="preserve">additional </w:t>
      </w:r>
      <w:r w:rsidRPr="10C197DD">
        <w:rPr>
          <w:rFonts w:asciiTheme="minorHAnsi" w:eastAsiaTheme="minorEastAsia" w:hAnsiTheme="minorHAnsi"/>
          <w:sz w:val="22"/>
        </w:rPr>
        <w:t>funding applications.</w:t>
      </w:r>
    </w:p>
    <w:p w14:paraId="7E399644" w14:textId="7DD113C5" w:rsidR="00AE7773" w:rsidRPr="0031161D" w:rsidRDefault="00AE7773" w:rsidP="10C197DD">
      <w:pPr>
        <w:ind w:firstLine="0"/>
        <w:jc w:val="both"/>
        <w:rPr>
          <w:rFonts w:asciiTheme="minorHAnsi" w:eastAsiaTheme="minorEastAsia" w:hAnsiTheme="minorHAnsi"/>
          <w:sz w:val="22"/>
        </w:rPr>
      </w:pPr>
    </w:p>
    <w:p w14:paraId="5EF7ADAF" w14:textId="77777777" w:rsidR="00571E53" w:rsidRDefault="00571E53" w:rsidP="10C197DD">
      <w:pPr>
        <w:spacing w:after="160" w:line="278" w:lineRule="auto"/>
        <w:ind w:firstLine="0"/>
        <w:rPr>
          <w:rFonts w:asciiTheme="minorHAnsi" w:eastAsiaTheme="minorEastAsia" w:hAnsiTheme="minorHAnsi"/>
          <w:b/>
          <w:bCs/>
          <w:sz w:val="22"/>
        </w:rPr>
      </w:pPr>
      <w:r w:rsidRPr="10C197DD">
        <w:rPr>
          <w:rFonts w:asciiTheme="minorHAnsi" w:eastAsiaTheme="minorEastAsia" w:hAnsiTheme="minorHAnsi"/>
          <w:b/>
          <w:bCs/>
          <w:sz w:val="22"/>
        </w:rPr>
        <w:br w:type="page"/>
      </w:r>
    </w:p>
    <w:p w14:paraId="024699EE" w14:textId="38B04FF1" w:rsidR="00AE7773" w:rsidRPr="0031161D" w:rsidRDefault="00AE7773" w:rsidP="2E2D5A71">
      <w:pPr>
        <w:ind w:firstLine="0"/>
        <w:rPr>
          <w:rFonts w:asciiTheme="minorHAnsi" w:eastAsiaTheme="minorEastAsia" w:hAnsiTheme="minorHAnsi"/>
          <w:b/>
          <w:bCs/>
          <w:sz w:val="22"/>
          <w:u w:val="single"/>
        </w:rPr>
      </w:pPr>
      <w:r w:rsidRPr="2E2D5A71">
        <w:rPr>
          <w:rFonts w:asciiTheme="minorHAnsi" w:eastAsiaTheme="minorEastAsia" w:hAnsiTheme="minorHAnsi"/>
          <w:b/>
          <w:bCs/>
          <w:sz w:val="22"/>
          <w:u w:val="single"/>
        </w:rPr>
        <w:lastRenderedPageBreak/>
        <w:t>Procedure</w:t>
      </w:r>
    </w:p>
    <w:p w14:paraId="19B21977" w14:textId="45068C68" w:rsidR="10C197DD" w:rsidRDefault="10C197DD" w:rsidP="10C197DD">
      <w:pPr>
        <w:ind w:firstLine="0"/>
        <w:rPr>
          <w:rFonts w:asciiTheme="minorHAnsi" w:eastAsiaTheme="minorEastAsia" w:hAnsiTheme="minorHAnsi"/>
          <w:b/>
          <w:bCs/>
          <w:sz w:val="22"/>
        </w:rPr>
      </w:pPr>
    </w:p>
    <w:p w14:paraId="698BF03D" w14:textId="4F9C4BD4" w:rsidR="00AE7773" w:rsidRPr="0031161D" w:rsidRDefault="00571E53" w:rsidP="10C197DD">
      <w:pPr>
        <w:ind w:firstLine="0"/>
        <w:rPr>
          <w:rFonts w:asciiTheme="minorHAnsi" w:eastAsiaTheme="minorEastAsia" w:hAnsiTheme="minorHAnsi"/>
          <w:b/>
          <w:bCs/>
          <w:sz w:val="22"/>
        </w:rPr>
      </w:pPr>
      <w:r w:rsidRPr="10C197DD">
        <w:rPr>
          <w:rFonts w:asciiTheme="minorHAnsi" w:eastAsiaTheme="minorEastAsia" w:hAnsiTheme="minorHAnsi"/>
          <w:b/>
          <w:bCs/>
          <w:sz w:val="22"/>
        </w:rPr>
        <w:t>Stage 1</w:t>
      </w:r>
    </w:p>
    <w:p w14:paraId="763AAE3F" w14:textId="6203417C" w:rsidR="00AE7773" w:rsidRDefault="00AE7773" w:rsidP="10C197DD">
      <w:pPr>
        <w:pStyle w:val="NoSpacing"/>
        <w:ind w:firstLine="0"/>
        <w:rPr>
          <w:rFonts w:asciiTheme="minorHAnsi" w:eastAsiaTheme="minorEastAsia" w:hAnsiTheme="minorHAnsi"/>
          <w:sz w:val="22"/>
        </w:rPr>
      </w:pPr>
      <w:r w:rsidRPr="10C197DD">
        <w:rPr>
          <w:rFonts w:asciiTheme="minorHAnsi" w:eastAsiaTheme="minorEastAsia" w:hAnsiTheme="minorHAnsi"/>
          <w:sz w:val="22"/>
        </w:rPr>
        <w:t xml:space="preserve">Complaints/appeals should be made within fourteen days of the incident or decision that prompted the </w:t>
      </w:r>
      <w:r w:rsidR="00A73BF5" w:rsidRPr="10C197DD">
        <w:rPr>
          <w:rFonts w:asciiTheme="minorHAnsi" w:eastAsiaTheme="minorEastAsia" w:hAnsiTheme="minorHAnsi"/>
          <w:sz w:val="22"/>
        </w:rPr>
        <w:t>action and should be sent to the Techne Manager</w:t>
      </w:r>
      <w:r w:rsidRPr="10C197DD">
        <w:rPr>
          <w:rFonts w:asciiTheme="minorHAnsi" w:eastAsiaTheme="minorEastAsia" w:hAnsiTheme="minorHAnsi"/>
          <w:sz w:val="22"/>
        </w:rPr>
        <w:t>.</w:t>
      </w:r>
    </w:p>
    <w:p w14:paraId="03C81120" w14:textId="04575939" w:rsidR="10C197DD" w:rsidRDefault="10C197DD" w:rsidP="10C197DD">
      <w:pPr>
        <w:pStyle w:val="NoSpacing"/>
        <w:ind w:firstLine="0"/>
        <w:rPr>
          <w:rFonts w:asciiTheme="minorHAnsi" w:eastAsiaTheme="minorEastAsia" w:hAnsiTheme="minorHAnsi"/>
          <w:sz w:val="22"/>
        </w:rPr>
      </w:pPr>
    </w:p>
    <w:p w14:paraId="443BAB49" w14:textId="77777777" w:rsidR="00AE7773" w:rsidRPr="00571E53" w:rsidRDefault="00AE7773" w:rsidP="10C197DD">
      <w:pPr>
        <w:pStyle w:val="NoSpacing"/>
        <w:ind w:firstLine="0"/>
        <w:rPr>
          <w:rFonts w:asciiTheme="minorHAnsi" w:eastAsiaTheme="minorEastAsia" w:hAnsiTheme="minorHAnsi"/>
          <w:sz w:val="22"/>
        </w:rPr>
      </w:pPr>
      <w:r w:rsidRPr="10C197DD">
        <w:rPr>
          <w:rFonts w:asciiTheme="minorHAnsi" w:eastAsiaTheme="minorEastAsia" w:hAnsiTheme="minorHAnsi"/>
          <w:sz w:val="22"/>
        </w:rPr>
        <w:t>Your formal complaint should detail:</w:t>
      </w:r>
    </w:p>
    <w:p w14:paraId="4026E7DC" w14:textId="77777777" w:rsidR="00AE7773" w:rsidRPr="0031161D" w:rsidRDefault="00AE7773" w:rsidP="10C197DD">
      <w:pPr>
        <w:pStyle w:val="ListParagraph"/>
        <w:numPr>
          <w:ilvl w:val="0"/>
          <w:numId w:val="2"/>
        </w:numPr>
        <w:spacing w:after="160" w:line="259" w:lineRule="auto"/>
        <w:rPr>
          <w:rFonts w:asciiTheme="minorHAnsi" w:eastAsiaTheme="minorEastAsia" w:hAnsiTheme="minorHAnsi"/>
          <w:sz w:val="22"/>
        </w:rPr>
      </w:pPr>
      <w:r w:rsidRPr="10C197DD">
        <w:rPr>
          <w:rFonts w:asciiTheme="minorHAnsi" w:eastAsiaTheme="minorEastAsia" w:hAnsiTheme="minorHAnsi"/>
          <w:sz w:val="22"/>
        </w:rPr>
        <w:t xml:space="preserve">the nature of your complaint or </w:t>
      </w:r>
      <w:proofErr w:type="gramStart"/>
      <w:r w:rsidRPr="10C197DD">
        <w:rPr>
          <w:rFonts w:asciiTheme="minorHAnsi" w:eastAsiaTheme="minorEastAsia" w:hAnsiTheme="minorHAnsi"/>
          <w:sz w:val="22"/>
        </w:rPr>
        <w:t>problem;</w:t>
      </w:r>
      <w:proofErr w:type="gramEnd"/>
    </w:p>
    <w:p w14:paraId="2F99C2AE" w14:textId="77777777" w:rsidR="00AE7773" w:rsidRPr="0031161D" w:rsidRDefault="00AE7773" w:rsidP="10C197DD">
      <w:pPr>
        <w:pStyle w:val="ListParagraph"/>
        <w:numPr>
          <w:ilvl w:val="0"/>
          <w:numId w:val="2"/>
        </w:numPr>
        <w:spacing w:after="160" w:line="259" w:lineRule="auto"/>
        <w:rPr>
          <w:rFonts w:asciiTheme="minorHAnsi" w:eastAsiaTheme="minorEastAsia" w:hAnsiTheme="minorHAnsi"/>
          <w:sz w:val="22"/>
        </w:rPr>
      </w:pPr>
      <w:r w:rsidRPr="10C197DD">
        <w:rPr>
          <w:rFonts w:asciiTheme="minorHAnsi" w:eastAsiaTheme="minorEastAsia" w:hAnsiTheme="minorHAnsi"/>
          <w:sz w:val="22"/>
        </w:rPr>
        <w:t xml:space="preserve">any steps already taken to resolve it and the response you </w:t>
      </w:r>
      <w:proofErr w:type="gramStart"/>
      <w:r w:rsidRPr="10C197DD">
        <w:rPr>
          <w:rFonts w:asciiTheme="minorHAnsi" w:eastAsiaTheme="minorEastAsia" w:hAnsiTheme="minorHAnsi"/>
          <w:sz w:val="22"/>
        </w:rPr>
        <w:t>received;</w:t>
      </w:r>
      <w:proofErr w:type="gramEnd"/>
    </w:p>
    <w:p w14:paraId="38CE6C4C" w14:textId="77777777" w:rsidR="00AE7773" w:rsidRPr="0031161D" w:rsidRDefault="00AE7773" w:rsidP="10C197DD">
      <w:pPr>
        <w:pStyle w:val="ListParagraph"/>
        <w:numPr>
          <w:ilvl w:val="0"/>
          <w:numId w:val="2"/>
        </w:numPr>
        <w:spacing w:after="160" w:line="259" w:lineRule="auto"/>
        <w:rPr>
          <w:rFonts w:asciiTheme="minorHAnsi" w:eastAsiaTheme="minorEastAsia" w:hAnsiTheme="minorHAnsi"/>
          <w:sz w:val="22"/>
        </w:rPr>
      </w:pPr>
      <w:r w:rsidRPr="10C197DD">
        <w:rPr>
          <w:rFonts w:asciiTheme="minorHAnsi" w:eastAsiaTheme="minorEastAsia" w:hAnsiTheme="minorHAnsi"/>
          <w:sz w:val="22"/>
        </w:rPr>
        <w:t xml:space="preserve">why you remain </w:t>
      </w:r>
      <w:proofErr w:type="gramStart"/>
      <w:r w:rsidRPr="10C197DD">
        <w:rPr>
          <w:rFonts w:asciiTheme="minorHAnsi" w:eastAsiaTheme="minorEastAsia" w:hAnsiTheme="minorHAnsi"/>
          <w:sz w:val="22"/>
        </w:rPr>
        <w:t>dissatisfied;</w:t>
      </w:r>
      <w:proofErr w:type="gramEnd"/>
    </w:p>
    <w:p w14:paraId="621D6657" w14:textId="77777777" w:rsidR="00AE7773" w:rsidRPr="0031161D" w:rsidRDefault="00AE7773" w:rsidP="10C197DD">
      <w:pPr>
        <w:pStyle w:val="ListParagraph"/>
        <w:numPr>
          <w:ilvl w:val="0"/>
          <w:numId w:val="2"/>
        </w:numPr>
        <w:spacing w:after="160" w:line="259" w:lineRule="auto"/>
        <w:rPr>
          <w:rFonts w:asciiTheme="minorHAnsi" w:eastAsiaTheme="minorEastAsia" w:hAnsiTheme="minorHAnsi"/>
          <w:sz w:val="22"/>
        </w:rPr>
      </w:pPr>
      <w:r w:rsidRPr="10C197DD">
        <w:rPr>
          <w:rFonts w:asciiTheme="minorHAnsi" w:eastAsiaTheme="minorEastAsia" w:hAnsiTheme="minorHAnsi"/>
          <w:sz w:val="22"/>
        </w:rPr>
        <w:t>the remedy you are seeking.</w:t>
      </w:r>
    </w:p>
    <w:p w14:paraId="1CEC036E" w14:textId="6EBF5B7D" w:rsidR="00AE7773" w:rsidRPr="00571E53" w:rsidRDefault="00A73BF5"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The Manager</w:t>
      </w:r>
      <w:r w:rsidR="00AE7773" w:rsidRPr="10C197DD">
        <w:rPr>
          <w:rFonts w:asciiTheme="minorHAnsi" w:eastAsiaTheme="minorEastAsia" w:hAnsiTheme="minorHAnsi"/>
          <w:sz w:val="22"/>
        </w:rPr>
        <w:t xml:space="preserve"> will acknowledge the complaint</w:t>
      </w:r>
      <w:r w:rsidRPr="10C197DD">
        <w:rPr>
          <w:rFonts w:asciiTheme="minorHAnsi" w:eastAsiaTheme="minorEastAsia" w:hAnsiTheme="minorHAnsi"/>
          <w:sz w:val="22"/>
        </w:rPr>
        <w:t xml:space="preserve"> </w:t>
      </w:r>
      <w:r w:rsidR="00571E53" w:rsidRPr="10C197DD">
        <w:rPr>
          <w:rFonts w:asciiTheme="minorHAnsi" w:eastAsiaTheme="minorEastAsia" w:hAnsiTheme="minorHAnsi"/>
          <w:sz w:val="22"/>
        </w:rPr>
        <w:t xml:space="preserve">and will respond within </w:t>
      </w:r>
      <w:r w:rsidR="003C11C9" w:rsidRPr="10C197DD">
        <w:rPr>
          <w:rFonts w:asciiTheme="minorHAnsi" w:eastAsiaTheme="minorEastAsia" w:hAnsiTheme="minorHAnsi"/>
          <w:sz w:val="22"/>
        </w:rPr>
        <w:t>ten</w:t>
      </w:r>
      <w:r w:rsidR="00571E53" w:rsidRPr="10C197DD">
        <w:rPr>
          <w:rFonts w:asciiTheme="minorHAnsi" w:eastAsiaTheme="minorEastAsia" w:hAnsiTheme="minorHAnsi"/>
          <w:sz w:val="22"/>
        </w:rPr>
        <w:t xml:space="preserve"> working days, or if this is not possible, they will set out the timescale for a full response. </w:t>
      </w:r>
      <w:r w:rsidR="00AE7773" w:rsidRPr="10C197DD">
        <w:rPr>
          <w:rFonts w:asciiTheme="minorHAnsi" w:eastAsiaTheme="minorEastAsia" w:hAnsiTheme="minorHAnsi"/>
          <w:sz w:val="22"/>
        </w:rPr>
        <w:t xml:space="preserve">Care will be taken to ensure that anyone who is the subject of a </w:t>
      </w:r>
      <w:r w:rsidRPr="10C197DD">
        <w:rPr>
          <w:rFonts w:asciiTheme="minorHAnsi" w:eastAsiaTheme="minorEastAsia" w:hAnsiTheme="minorHAnsi"/>
          <w:sz w:val="22"/>
        </w:rPr>
        <w:t>complaint or</w:t>
      </w:r>
      <w:r w:rsidR="00AE7773" w:rsidRPr="10C197DD">
        <w:rPr>
          <w:rFonts w:asciiTheme="minorHAnsi" w:eastAsiaTheme="minorEastAsia" w:hAnsiTheme="minorHAnsi"/>
          <w:sz w:val="22"/>
        </w:rPr>
        <w:t xml:space="preserve"> has been involved </w:t>
      </w:r>
      <w:r w:rsidR="2AF11308" w:rsidRPr="10C197DD">
        <w:rPr>
          <w:rFonts w:asciiTheme="minorHAnsi" w:eastAsiaTheme="minorEastAsia" w:hAnsiTheme="minorHAnsi"/>
          <w:sz w:val="22"/>
        </w:rPr>
        <w:t>at an earlier stage of</w:t>
      </w:r>
      <w:r w:rsidR="00AE7773" w:rsidRPr="10C197DD">
        <w:rPr>
          <w:rFonts w:asciiTheme="minorHAnsi" w:eastAsiaTheme="minorEastAsia" w:hAnsiTheme="minorHAnsi"/>
          <w:sz w:val="22"/>
        </w:rPr>
        <w:t xml:space="preserve"> a complaint, is not involved in investigating it.</w:t>
      </w:r>
      <w:r w:rsidRPr="10C197DD">
        <w:rPr>
          <w:rFonts w:asciiTheme="minorHAnsi" w:eastAsiaTheme="minorEastAsia" w:hAnsiTheme="minorHAnsi"/>
          <w:sz w:val="22"/>
        </w:rPr>
        <w:t xml:space="preserve">  </w:t>
      </w:r>
    </w:p>
    <w:p w14:paraId="254C550D" w14:textId="77777777" w:rsidR="00AE7773" w:rsidRPr="00571E53" w:rsidRDefault="00AE7773" w:rsidP="10C197DD">
      <w:pPr>
        <w:ind w:firstLine="0"/>
        <w:rPr>
          <w:rFonts w:asciiTheme="minorHAnsi" w:eastAsiaTheme="minorEastAsia" w:hAnsiTheme="minorHAnsi"/>
          <w:sz w:val="22"/>
          <w:u w:val="single"/>
        </w:rPr>
      </w:pPr>
    </w:p>
    <w:p w14:paraId="6285070B" w14:textId="769C9500" w:rsidR="00AE7773" w:rsidRDefault="00AE7773"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 xml:space="preserve">The Techne Manager will refer </w:t>
      </w:r>
      <w:r w:rsidR="00A73BF5" w:rsidRPr="10C197DD">
        <w:rPr>
          <w:rFonts w:asciiTheme="minorHAnsi" w:eastAsiaTheme="minorEastAsia" w:hAnsiTheme="minorHAnsi"/>
          <w:sz w:val="22"/>
        </w:rPr>
        <w:t>the</w:t>
      </w:r>
      <w:r w:rsidRPr="10C197DD">
        <w:rPr>
          <w:rFonts w:asciiTheme="minorHAnsi" w:eastAsiaTheme="minorEastAsia" w:hAnsiTheme="minorHAnsi"/>
          <w:sz w:val="22"/>
        </w:rPr>
        <w:t xml:space="preserve"> </w:t>
      </w:r>
      <w:r w:rsidR="00571E53" w:rsidRPr="10C197DD">
        <w:rPr>
          <w:rFonts w:asciiTheme="minorHAnsi" w:eastAsiaTheme="minorEastAsia" w:hAnsiTheme="minorHAnsi"/>
          <w:sz w:val="22"/>
        </w:rPr>
        <w:t xml:space="preserve">complaint </w:t>
      </w:r>
      <w:r w:rsidRPr="10C197DD">
        <w:rPr>
          <w:rFonts w:asciiTheme="minorHAnsi" w:eastAsiaTheme="minorEastAsia" w:hAnsiTheme="minorHAnsi"/>
          <w:sz w:val="22"/>
        </w:rPr>
        <w:t xml:space="preserve">to the Techne Director or Deputy Director. You should expect a response within </w:t>
      </w:r>
      <w:r w:rsidR="003C11C9" w:rsidRPr="10C197DD">
        <w:rPr>
          <w:rFonts w:asciiTheme="minorHAnsi" w:eastAsiaTheme="minorEastAsia" w:hAnsiTheme="minorHAnsi"/>
          <w:sz w:val="22"/>
        </w:rPr>
        <w:t>fifteen</w:t>
      </w:r>
      <w:r w:rsidRPr="10C197DD">
        <w:rPr>
          <w:rFonts w:asciiTheme="minorHAnsi" w:eastAsiaTheme="minorEastAsia" w:hAnsiTheme="minorHAnsi"/>
          <w:sz w:val="22"/>
        </w:rPr>
        <w:t xml:space="preserve"> working days, or a statement of the timescale for a full response. Please be aware that investigation of complaints at this level may involve multiple parties and so may take some time. Any delay will be explained, and you will be kept informed of progress.</w:t>
      </w:r>
    </w:p>
    <w:p w14:paraId="52422DF3" w14:textId="77777777" w:rsidR="007807DB" w:rsidRDefault="007807DB" w:rsidP="10C197DD">
      <w:pPr>
        <w:pStyle w:val="NoSpacing"/>
        <w:ind w:firstLine="0"/>
        <w:rPr>
          <w:rFonts w:asciiTheme="minorHAnsi" w:eastAsiaTheme="minorEastAsia" w:hAnsiTheme="minorHAnsi"/>
          <w:sz w:val="22"/>
        </w:rPr>
      </w:pPr>
    </w:p>
    <w:p w14:paraId="542E4C2D" w14:textId="0F2D3F0E" w:rsidR="007807DB" w:rsidRDefault="007807DB"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Where a complaint involves the Techne Director or Deputy Director, it will be referred directly to the Chair of the Techne Steering Group.</w:t>
      </w:r>
    </w:p>
    <w:p w14:paraId="65E6304C" w14:textId="77777777" w:rsidR="00571E53" w:rsidRDefault="00571E53" w:rsidP="10C197DD">
      <w:pPr>
        <w:pStyle w:val="NoSpacing"/>
        <w:ind w:firstLine="0"/>
        <w:rPr>
          <w:rFonts w:asciiTheme="minorHAnsi" w:eastAsiaTheme="minorEastAsia" w:hAnsiTheme="minorHAnsi"/>
          <w:sz w:val="22"/>
        </w:rPr>
      </w:pPr>
    </w:p>
    <w:p w14:paraId="4FDDDE2C" w14:textId="652C8857" w:rsidR="00571E53" w:rsidRDefault="00571E53" w:rsidP="10C197DD">
      <w:pPr>
        <w:pStyle w:val="NoSpacing"/>
        <w:ind w:firstLine="0"/>
        <w:rPr>
          <w:rFonts w:asciiTheme="minorHAnsi" w:eastAsiaTheme="minorEastAsia" w:hAnsiTheme="minorHAnsi"/>
          <w:b/>
          <w:bCs/>
          <w:sz w:val="22"/>
        </w:rPr>
      </w:pPr>
      <w:r w:rsidRPr="10C197DD">
        <w:rPr>
          <w:rFonts w:asciiTheme="minorHAnsi" w:eastAsiaTheme="minorEastAsia" w:hAnsiTheme="minorHAnsi"/>
          <w:b/>
          <w:bCs/>
          <w:sz w:val="22"/>
        </w:rPr>
        <w:t xml:space="preserve">Stage 2 </w:t>
      </w:r>
      <w:r w:rsidR="00DC3FAD" w:rsidRPr="10C197DD">
        <w:rPr>
          <w:rFonts w:asciiTheme="minorHAnsi" w:eastAsiaTheme="minorEastAsia" w:hAnsiTheme="minorHAnsi"/>
          <w:b/>
          <w:bCs/>
          <w:sz w:val="22"/>
        </w:rPr>
        <w:t>Review of Decision – Techne Steering Group</w:t>
      </w:r>
    </w:p>
    <w:p w14:paraId="18F02F73" w14:textId="270E2F25" w:rsidR="00DC3FAD" w:rsidRDefault="00DC3FAD"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 xml:space="preserve">If the applicant is dissatisfied with the outcome of the Stage 1 decision, they may seek a review of the decision by the Techne Steering Group. The applicant should write to the Techne Manager within </w:t>
      </w:r>
      <w:r w:rsidR="003C11C9" w:rsidRPr="10C197DD">
        <w:rPr>
          <w:rFonts w:asciiTheme="minorHAnsi" w:eastAsiaTheme="minorEastAsia" w:hAnsiTheme="minorHAnsi"/>
          <w:sz w:val="22"/>
        </w:rPr>
        <w:t>fifteen</w:t>
      </w:r>
      <w:r w:rsidRPr="10C197DD">
        <w:rPr>
          <w:rFonts w:asciiTheme="minorHAnsi" w:eastAsiaTheme="minorEastAsia" w:hAnsiTheme="minorHAnsi"/>
          <w:sz w:val="22"/>
        </w:rPr>
        <w:t xml:space="preserve"> working days of receiving the Stage 1 decision to request this review. The Techne Manager will acknowledge this request within </w:t>
      </w:r>
      <w:r w:rsidR="003C11C9" w:rsidRPr="10C197DD">
        <w:rPr>
          <w:rFonts w:asciiTheme="minorHAnsi" w:eastAsiaTheme="minorEastAsia" w:hAnsiTheme="minorHAnsi"/>
          <w:sz w:val="22"/>
        </w:rPr>
        <w:t>ten</w:t>
      </w:r>
      <w:r w:rsidRPr="10C197DD">
        <w:rPr>
          <w:rFonts w:asciiTheme="minorHAnsi" w:eastAsiaTheme="minorEastAsia" w:hAnsiTheme="minorHAnsi"/>
          <w:sz w:val="22"/>
        </w:rPr>
        <w:t xml:space="preserve"> working days of receiving the request. The Techne Steering Group will normally complete its review of the decision and write to the applicant with its findings within </w:t>
      </w:r>
      <w:r w:rsidR="003C11C9" w:rsidRPr="10C197DD">
        <w:rPr>
          <w:rFonts w:asciiTheme="minorHAnsi" w:eastAsiaTheme="minorEastAsia" w:hAnsiTheme="minorHAnsi"/>
          <w:sz w:val="22"/>
        </w:rPr>
        <w:t>twenty</w:t>
      </w:r>
      <w:r w:rsidRPr="10C197DD">
        <w:rPr>
          <w:rFonts w:asciiTheme="minorHAnsi" w:eastAsiaTheme="minorEastAsia" w:hAnsiTheme="minorHAnsi"/>
          <w:sz w:val="22"/>
        </w:rPr>
        <w:t xml:space="preserve"> working days of receiving the applicant’s request or advise the applicant if the time limit needs to be extended.  </w:t>
      </w:r>
    </w:p>
    <w:p w14:paraId="0ADC6A0B" w14:textId="77777777" w:rsidR="00D41DA5" w:rsidRDefault="00D41DA5" w:rsidP="10C197DD">
      <w:pPr>
        <w:pStyle w:val="NoSpacing"/>
        <w:ind w:firstLine="0"/>
        <w:rPr>
          <w:rFonts w:asciiTheme="minorHAnsi" w:eastAsiaTheme="minorEastAsia" w:hAnsiTheme="minorHAnsi"/>
          <w:sz w:val="22"/>
        </w:rPr>
      </w:pPr>
    </w:p>
    <w:p w14:paraId="66279649" w14:textId="7A6E67A3" w:rsidR="00D41DA5" w:rsidRDefault="00D41DA5" w:rsidP="10C197DD">
      <w:pPr>
        <w:pStyle w:val="NoSpacing"/>
        <w:ind w:firstLine="0"/>
        <w:jc w:val="both"/>
        <w:rPr>
          <w:rFonts w:asciiTheme="minorHAnsi" w:eastAsiaTheme="minorEastAsia" w:hAnsiTheme="minorHAnsi"/>
          <w:sz w:val="22"/>
        </w:rPr>
      </w:pPr>
      <w:r w:rsidRPr="10C197DD">
        <w:rPr>
          <w:rFonts w:asciiTheme="minorHAnsi" w:eastAsiaTheme="minorEastAsia" w:hAnsiTheme="minorHAnsi"/>
          <w:sz w:val="22"/>
        </w:rPr>
        <w:t>If the applicant is dissatisfied with the outcome of the Stage 2 process, they should follow Stage 3 and refer the matter to the Ombudsman.</w:t>
      </w:r>
    </w:p>
    <w:p w14:paraId="30A01BA3" w14:textId="77777777" w:rsidR="00DC3FAD" w:rsidRDefault="00DC3FAD" w:rsidP="10C197DD">
      <w:pPr>
        <w:pStyle w:val="NoSpacing"/>
        <w:ind w:firstLine="0"/>
        <w:rPr>
          <w:rFonts w:asciiTheme="minorHAnsi" w:eastAsiaTheme="minorEastAsia" w:hAnsiTheme="minorHAnsi"/>
          <w:sz w:val="22"/>
        </w:rPr>
      </w:pPr>
    </w:p>
    <w:p w14:paraId="04F35DD8" w14:textId="69A0101F" w:rsidR="00DC3FAD" w:rsidRDefault="00DC3FAD" w:rsidP="10C197DD">
      <w:pPr>
        <w:pStyle w:val="NoSpacing"/>
        <w:ind w:firstLine="0"/>
        <w:jc w:val="both"/>
        <w:rPr>
          <w:rFonts w:asciiTheme="minorHAnsi" w:eastAsiaTheme="minorEastAsia" w:hAnsiTheme="minorHAnsi"/>
          <w:sz w:val="22"/>
        </w:rPr>
      </w:pPr>
      <w:r w:rsidRPr="48DDB394">
        <w:rPr>
          <w:rFonts w:asciiTheme="minorHAnsi" w:eastAsiaTheme="minorEastAsia" w:hAnsiTheme="minorHAnsi"/>
          <w:sz w:val="22"/>
        </w:rPr>
        <w:t xml:space="preserve">Where the complaint has involved the Techne Director or Deputy Director and </w:t>
      </w:r>
      <w:r w:rsidR="00554716" w:rsidRPr="48DDB394">
        <w:rPr>
          <w:rFonts w:asciiTheme="minorHAnsi" w:eastAsiaTheme="minorEastAsia" w:hAnsiTheme="minorHAnsi"/>
          <w:sz w:val="22"/>
        </w:rPr>
        <w:t xml:space="preserve">the applicant is dissatisfied with the decision of the Techne Steering Group, </w:t>
      </w:r>
      <w:r w:rsidRPr="48DDB394">
        <w:rPr>
          <w:rFonts w:asciiTheme="minorHAnsi" w:eastAsiaTheme="minorEastAsia" w:hAnsiTheme="minorHAnsi"/>
          <w:sz w:val="22"/>
        </w:rPr>
        <w:t>the applicant should follow the process to consult with the Ombudsman.</w:t>
      </w:r>
    </w:p>
    <w:p w14:paraId="452B74A7" w14:textId="77777777" w:rsidR="00D41DA5" w:rsidRDefault="00D41DA5" w:rsidP="10C197DD">
      <w:pPr>
        <w:ind w:firstLine="0"/>
        <w:rPr>
          <w:rFonts w:asciiTheme="minorHAnsi" w:eastAsiaTheme="minorEastAsia" w:hAnsiTheme="minorHAnsi"/>
          <w:sz w:val="22"/>
        </w:rPr>
      </w:pPr>
    </w:p>
    <w:p w14:paraId="152382B8" w14:textId="742832A2" w:rsidR="00AE7773" w:rsidRPr="00DC3FAD" w:rsidRDefault="00AE7773" w:rsidP="10C197DD">
      <w:pPr>
        <w:ind w:firstLine="0"/>
        <w:rPr>
          <w:rFonts w:asciiTheme="minorHAnsi" w:eastAsiaTheme="minorEastAsia" w:hAnsiTheme="minorHAnsi"/>
          <w:b/>
          <w:bCs/>
          <w:sz w:val="22"/>
        </w:rPr>
      </w:pPr>
      <w:r w:rsidRPr="10C197DD">
        <w:rPr>
          <w:rFonts w:asciiTheme="minorHAnsi" w:eastAsiaTheme="minorEastAsia" w:hAnsiTheme="minorHAnsi"/>
          <w:b/>
          <w:bCs/>
          <w:sz w:val="22"/>
        </w:rPr>
        <w:t xml:space="preserve">Stage </w:t>
      </w:r>
      <w:r w:rsidR="00DC3FAD" w:rsidRPr="10C197DD">
        <w:rPr>
          <w:rFonts w:asciiTheme="minorHAnsi" w:eastAsiaTheme="minorEastAsia" w:hAnsiTheme="minorHAnsi"/>
          <w:b/>
          <w:bCs/>
          <w:sz w:val="22"/>
        </w:rPr>
        <w:t>3</w:t>
      </w:r>
      <w:r w:rsidRPr="10C197DD">
        <w:rPr>
          <w:rFonts w:asciiTheme="minorHAnsi" w:eastAsiaTheme="minorEastAsia" w:hAnsiTheme="minorHAnsi"/>
          <w:b/>
          <w:bCs/>
          <w:sz w:val="22"/>
        </w:rPr>
        <w:t>: Ombudsman</w:t>
      </w:r>
    </w:p>
    <w:p w14:paraId="0E5A7C34" w14:textId="7FAEE8DC" w:rsidR="00AE7773" w:rsidRPr="0031161D" w:rsidRDefault="00AE7773" w:rsidP="10C197DD">
      <w:pPr>
        <w:ind w:firstLine="0"/>
        <w:jc w:val="both"/>
        <w:rPr>
          <w:rFonts w:asciiTheme="minorHAnsi" w:eastAsiaTheme="minorEastAsia" w:hAnsiTheme="minorHAnsi"/>
          <w:sz w:val="22"/>
        </w:rPr>
      </w:pPr>
      <w:r w:rsidRPr="10C197DD">
        <w:rPr>
          <w:rFonts w:asciiTheme="minorHAnsi" w:eastAsiaTheme="minorEastAsia" w:hAnsiTheme="minorHAnsi"/>
          <w:sz w:val="22"/>
        </w:rPr>
        <w:t xml:space="preserve">Students who remain dissatisfied with the outcome of the Stage </w:t>
      </w:r>
      <w:r w:rsidR="00D41DA5" w:rsidRPr="10C197DD">
        <w:rPr>
          <w:rFonts w:asciiTheme="minorHAnsi" w:eastAsiaTheme="minorEastAsia" w:hAnsiTheme="minorHAnsi"/>
          <w:sz w:val="22"/>
        </w:rPr>
        <w:t>2</w:t>
      </w:r>
      <w:r w:rsidRPr="10C197DD">
        <w:rPr>
          <w:rFonts w:asciiTheme="minorHAnsi" w:eastAsiaTheme="minorEastAsia" w:hAnsiTheme="minorHAnsi"/>
          <w:sz w:val="22"/>
        </w:rPr>
        <w:t xml:space="preserve"> process can take their complaint to the Ombudsman:</w:t>
      </w:r>
    </w:p>
    <w:p w14:paraId="405B8293" w14:textId="77777777" w:rsidR="00AE7773" w:rsidRPr="0031161D" w:rsidRDefault="00AE7773" w:rsidP="10C197DD">
      <w:pPr>
        <w:ind w:firstLine="0"/>
        <w:rPr>
          <w:rFonts w:asciiTheme="minorHAnsi" w:eastAsiaTheme="minorEastAsia" w:hAnsiTheme="minorHAnsi"/>
          <w:sz w:val="22"/>
        </w:rPr>
      </w:pPr>
      <w:r w:rsidRPr="10C197DD">
        <w:rPr>
          <w:rFonts w:asciiTheme="minorHAnsi" w:eastAsiaTheme="minorEastAsia" w:hAnsiTheme="minorHAnsi"/>
          <w:color w:val="FF0000"/>
          <w:sz w:val="22"/>
        </w:rPr>
        <w:t>The Office for the Independent Adjudicator for Higher Education (OIA) in England and Wales https://www.oiahe.org.uk/</w:t>
      </w:r>
    </w:p>
    <w:p w14:paraId="11AD1746" w14:textId="77777777" w:rsidR="00AE7773" w:rsidRPr="0031161D" w:rsidRDefault="00AE7773" w:rsidP="10C197DD">
      <w:pPr>
        <w:rPr>
          <w:rFonts w:asciiTheme="minorHAnsi" w:eastAsiaTheme="minorEastAsia" w:hAnsiTheme="minorHAnsi"/>
          <w:sz w:val="22"/>
        </w:rPr>
      </w:pPr>
    </w:p>
    <w:p w14:paraId="37B4CFC5" w14:textId="77777777" w:rsidR="00DF0309" w:rsidRPr="0031161D" w:rsidRDefault="00DF0309" w:rsidP="10C197DD">
      <w:pPr>
        <w:rPr>
          <w:rFonts w:asciiTheme="minorHAnsi" w:eastAsiaTheme="minorEastAsia" w:hAnsiTheme="minorHAnsi"/>
          <w:sz w:val="22"/>
        </w:rPr>
      </w:pPr>
    </w:p>
    <w:sectPr w:rsidR="00DF0309" w:rsidRPr="0031161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1C18" w14:textId="77777777" w:rsidR="00AE7773" w:rsidRDefault="00AE7773" w:rsidP="00AE7773">
      <w:pPr>
        <w:spacing w:line="240" w:lineRule="auto"/>
      </w:pPr>
      <w:r>
        <w:separator/>
      </w:r>
    </w:p>
  </w:endnote>
  <w:endnote w:type="continuationSeparator" w:id="0">
    <w:p w14:paraId="34E91B87" w14:textId="77777777" w:rsidR="00AE7773" w:rsidRDefault="00AE7773" w:rsidP="00AE7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C197DD" w14:paraId="76298422" w14:textId="77777777" w:rsidTr="10C197DD">
      <w:trPr>
        <w:trHeight w:val="300"/>
      </w:trPr>
      <w:tc>
        <w:tcPr>
          <w:tcW w:w="3005" w:type="dxa"/>
        </w:tcPr>
        <w:p w14:paraId="28202721" w14:textId="6B3ED66A" w:rsidR="10C197DD" w:rsidRDefault="10C197DD" w:rsidP="10C197DD">
          <w:pPr>
            <w:pStyle w:val="Header"/>
            <w:ind w:left="-115"/>
          </w:pPr>
        </w:p>
      </w:tc>
      <w:tc>
        <w:tcPr>
          <w:tcW w:w="3005" w:type="dxa"/>
        </w:tcPr>
        <w:p w14:paraId="393D0E33" w14:textId="3A0C2B91" w:rsidR="10C197DD" w:rsidRDefault="10C197DD" w:rsidP="10C197DD">
          <w:pPr>
            <w:pStyle w:val="Header"/>
            <w:jc w:val="center"/>
          </w:pPr>
        </w:p>
      </w:tc>
      <w:tc>
        <w:tcPr>
          <w:tcW w:w="3005" w:type="dxa"/>
        </w:tcPr>
        <w:p w14:paraId="5AB1AD7B" w14:textId="08371F20" w:rsidR="10C197DD" w:rsidRDefault="10C197DD" w:rsidP="10C197DD">
          <w:pPr>
            <w:pStyle w:val="Header"/>
            <w:ind w:right="-115"/>
            <w:jc w:val="right"/>
          </w:pPr>
        </w:p>
      </w:tc>
    </w:tr>
  </w:tbl>
  <w:p w14:paraId="2CD681B8" w14:textId="0EFF35BA" w:rsidR="10C197DD" w:rsidRDefault="10C197DD" w:rsidP="10C19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8380" w14:textId="77777777" w:rsidR="00AE7773" w:rsidRDefault="00AE7773" w:rsidP="00AE7773">
      <w:pPr>
        <w:spacing w:line="240" w:lineRule="auto"/>
      </w:pPr>
      <w:r>
        <w:separator/>
      </w:r>
    </w:p>
  </w:footnote>
  <w:footnote w:type="continuationSeparator" w:id="0">
    <w:p w14:paraId="44C90F90" w14:textId="77777777" w:rsidR="00AE7773" w:rsidRDefault="00AE7773" w:rsidP="00AE77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C197DD" w14:paraId="23211B41" w14:textId="77777777" w:rsidTr="10C197DD">
      <w:trPr>
        <w:trHeight w:val="300"/>
      </w:trPr>
      <w:tc>
        <w:tcPr>
          <w:tcW w:w="3005" w:type="dxa"/>
        </w:tcPr>
        <w:p w14:paraId="1325B325" w14:textId="26529A2D" w:rsidR="10C197DD" w:rsidRDefault="10C197DD" w:rsidP="10C197DD">
          <w:pPr>
            <w:pStyle w:val="Header"/>
            <w:ind w:left="-115"/>
          </w:pPr>
        </w:p>
      </w:tc>
      <w:tc>
        <w:tcPr>
          <w:tcW w:w="3005" w:type="dxa"/>
        </w:tcPr>
        <w:p w14:paraId="67712C75" w14:textId="33C4E55E" w:rsidR="10C197DD" w:rsidRDefault="10C197DD" w:rsidP="10C197DD">
          <w:pPr>
            <w:pStyle w:val="Header"/>
            <w:jc w:val="center"/>
          </w:pPr>
        </w:p>
      </w:tc>
      <w:tc>
        <w:tcPr>
          <w:tcW w:w="3005" w:type="dxa"/>
        </w:tcPr>
        <w:p w14:paraId="7C9C484E" w14:textId="0B96A03F" w:rsidR="10C197DD" w:rsidRDefault="10C197DD" w:rsidP="10C197DD">
          <w:pPr>
            <w:pStyle w:val="Header"/>
            <w:ind w:right="-115"/>
            <w:jc w:val="right"/>
          </w:pPr>
        </w:p>
      </w:tc>
    </w:tr>
  </w:tbl>
  <w:p w14:paraId="2AFC7D60" w14:textId="28429518" w:rsidR="10C197DD" w:rsidRDefault="10C197DD" w:rsidP="10C19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587"/>
    <w:multiLevelType w:val="hybridMultilevel"/>
    <w:tmpl w:val="B14098A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F93E99"/>
    <w:multiLevelType w:val="hybridMultilevel"/>
    <w:tmpl w:val="954E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1DE7"/>
    <w:multiLevelType w:val="hybridMultilevel"/>
    <w:tmpl w:val="DC28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385628">
    <w:abstractNumId w:val="0"/>
  </w:num>
  <w:num w:numId="2" w16cid:durableId="672798393">
    <w:abstractNumId w:val="1"/>
  </w:num>
  <w:num w:numId="3" w16cid:durableId="1855462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73"/>
    <w:rsid w:val="00254BD4"/>
    <w:rsid w:val="0031161D"/>
    <w:rsid w:val="003C11C9"/>
    <w:rsid w:val="00504A9A"/>
    <w:rsid w:val="00554716"/>
    <w:rsid w:val="00571E53"/>
    <w:rsid w:val="00682514"/>
    <w:rsid w:val="00687218"/>
    <w:rsid w:val="007807DB"/>
    <w:rsid w:val="007F0304"/>
    <w:rsid w:val="00A013A2"/>
    <w:rsid w:val="00A22A17"/>
    <w:rsid w:val="00A73BF5"/>
    <w:rsid w:val="00AE7773"/>
    <w:rsid w:val="00D41DA5"/>
    <w:rsid w:val="00DC3FAD"/>
    <w:rsid w:val="00DF0309"/>
    <w:rsid w:val="00F320E3"/>
    <w:rsid w:val="03680CE0"/>
    <w:rsid w:val="0461E5B9"/>
    <w:rsid w:val="04843817"/>
    <w:rsid w:val="0A172441"/>
    <w:rsid w:val="10C197DD"/>
    <w:rsid w:val="15EF85FE"/>
    <w:rsid w:val="15F5D128"/>
    <w:rsid w:val="189B5FC7"/>
    <w:rsid w:val="2971C259"/>
    <w:rsid w:val="2AF11308"/>
    <w:rsid w:val="2B9E13AA"/>
    <w:rsid w:val="2E2D5A71"/>
    <w:rsid w:val="34F8F3AB"/>
    <w:rsid w:val="380B23C4"/>
    <w:rsid w:val="38A1FF3E"/>
    <w:rsid w:val="3F788EEA"/>
    <w:rsid w:val="48DDB394"/>
    <w:rsid w:val="4ED0DDD5"/>
    <w:rsid w:val="500A1507"/>
    <w:rsid w:val="64F04603"/>
    <w:rsid w:val="746B5865"/>
    <w:rsid w:val="7EB85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1C5E"/>
  <w15:chartTrackingRefBased/>
  <w15:docId w15:val="{CE9BA784-316E-4F5E-9B42-01704108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73"/>
    <w:pPr>
      <w:spacing w:after="0" w:line="276" w:lineRule="auto"/>
      <w:ind w:firstLine="720"/>
    </w:pPr>
    <w:rPr>
      <w:rFonts w:ascii="Times New Roman" w:hAnsi="Times New Roman"/>
      <w:szCs w:val="22"/>
    </w:rPr>
  </w:style>
  <w:style w:type="paragraph" w:styleId="Heading1">
    <w:name w:val="heading 1"/>
    <w:basedOn w:val="Normal"/>
    <w:next w:val="Normal"/>
    <w:link w:val="Heading1Char"/>
    <w:uiPriority w:val="9"/>
    <w:qFormat/>
    <w:rsid w:val="00AE7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73"/>
    <w:rPr>
      <w:rFonts w:eastAsiaTheme="majorEastAsia" w:cstheme="majorBidi"/>
      <w:color w:val="272727" w:themeColor="text1" w:themeTint="D8"/>
    </w:rPr>
  </w:style>
  <w:style w:type="paragraph" w:styleId="Title">
    <w:name w:val="Title"/>
    <w:basedOn w:val="Normal"/>
    <w:next w:val="Normal"/>
    <w:link w:val="TitleChar"/>
    <w:uiPriority w:val="10"/>
    <w:qFormat/>
    <w:rsid w:val="00AE7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7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73"/>
    <w:pPr>
      <w:spacing w:before="160"/>
      <w:jc w:val="center"/>
    </w:pPr>
    <w:rPr>
      <w:i/>
      <w:iCs/>
      <w:color w:val="404040" w:themeColor="text1" w:themeTint="BF"/>
    </w:rPr>
  </w:style>
  <w:style w:type="character" w:customStyle="1" w:styleId="QuoteChar">
    <w:name w:val="Quote Char"/>
    <w:basedOn w:val="DefaultParagraphFont"/>
    <w:link w:val="Quote"/>
    <w:uiPriority w:val="29"/>
    <w:rsid w:val="00AE7773"/>
    <w:rPr>
      <w:i/>
      <w:iCs/>
      <w:color w:val="404040" w:themeColor="text1" w:themeTint="BF"/>
    </w:rPr>
  </w:style>
  <w:style w:type="paragraph" w:styleId="ListParagraph">
    <w:name w:val="List Paragraph"/>
    <w:basedOn w:val="Normal"/>
    <w:uiPriority w:val="34"/>
    <w:qFormat/>
    <w:rsid w:val="00AE7773"/>
    <w:pPr>
      <w:ind w:left="720"/>
      <w:contextualSpacing/>
    </w:pPr>
  </w:style>
  <w:style w:type="character" w:styleId="IntenseEmphasis">
    <w:name w:val="Intense Emphasis"/>
    <w:basedOn w:val="DefaultParagraphFont"/>
    <w:uiPriority w:val="21"/>
    <w:qFormat/>
    <w:rsid w:val="00AE7773"/>
    <w:rPr>
      <w:i/>
      <w:iCs/>
      <w:color w:val="0F4761" w:themeColor="accent1" w:themeShade="BF"/>
    </w:rPr>
  </w:style>
  <w:style w:type="paragraph" w:styleId="IntenseQuote">
    <w:name w:val="Intense Quote"/>
    <w:basedOn w:val="Normal"/>
    <w:next w:val="Normal"/>
    <w:link w:val="IntenseQuoteChar"/>
    <w:uiPriority w:val="30"/>
    <w:qFormat/>
    <w:rsid w:val="00AE7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73"/>
    <w:rPr>
      <w:i/>
      <w:iCs/>
      <w:color w:val="0F4761" w:themeColor="accent1" w:themeShade="BF"/>
    </w:rPr>
  </w:style>
  <w:style w:type="character" w:styleId="IntenseReference">
    <w:name w:val="Intense Reference"/>
    <w:basedOn w:val="DefaultParagraphFont"/>
    <w:uiPriority w:val="32"/>
    <w:qFormat/>
    <w:rsid w:val="00AE7773"/>
    <w:rPr>
      <w:b/>
      <w:bCs/>
      <w:smallCaps/>
      <w:color w:val="0F4761" w:themeColor="accent1" w:themeShade="BF"/>
      <w:spacing w:val="5"/>
    </w:rPr>
  </w:style>
  <w:style w:type="character" w:styleId="Hyperlink">
    <w:name w:val="Hyperlink"/>
    <w:basedOn w:val="DefaultParagraphFont"/>
    <w:uiPriority w:val="99"/>
    <w:unhideWhenUsed/>
    <w:rsid w:val="00AE7773"/>
    <w:rPr>
      <w:color w:val="467886" w:themeColor="hyperlink"/>
      <w:u w:val="single"/>
    </w:rPr>
  </w:style>
  <w:style w:type="paragraph" w:styleId="FootnoteText">
    <w:name w:val="footnote text"/>
    <w:basedOn w:val="Normal"/>
    <w:link w:val="FootnoteTextChar"/>
    <w:uiPriority w:val="99"/>
    <w:semiHidden/>
    <w:unhideWhenUsed/>
    <w:rsid w:val="00AE7773"/>
    <w:pPr>
      <w:spacing w:line="240" w:lineRule="auto"/>
    </w:pPr>
    <w:rPr>
      <w:sz w:val="20"/>
      <w:szCs w:val="20"/>
    </w:rPr>
  </w:style>
  <w:style w:type="character" w:customStyle="1" w:styleId="FootnoteTextChar">
    <w:name w:val="Footnote Text Char"/>
    <w:basedOn w:val="DefaultParagraphFont"/>
    <w:link w:val="FootnoteText"/>
    <w:uiPriority w:val="99"/>
    <w:semiHidden/>
    <w:rsid w:val="00AE7773"/>
    <w:rPr>
      <w:rFonts w:ascii="Times New Roman" w:hAnsi="Times New Roman"/>
      <w:sz w:val="20"/>
      <w:szCs w:val="20"/>
    </w:rPr>
  </w:style>
  <w:style w:type="character" w:styleId="FootnoteReference">
    <w:name w:val="footnote reference"/>
    <w:basedOn w:val="DefaultParagraphFont"/>
    <w:uiPriority w:val="99"/>
    <w:semiHidden/>
    <w:unhideWhenUsed/>
    <w:rsid w:val="00AE7773"/>
    <w:rPr>
      <w:vertAlign w:val="superscript"/>
    </w:rPr>
  </w:style>
  <w:style w:type="character" w:styleId="CommentReference">
    <w:name w:val="annotation reference"/>
    <w:basedOn w:val="DefaultParagraphFont"/>
    <w:uiPriority w:val="99"/>
    <w:semiHidden/>
    <w:unhideWhenUsed/>
    <w:rsid w:val="00AE7773"/>
    <w:rPr>
      <w:sz w:val="16"/>
      <w:szCs w:val="16"/>
    </w:rPr>
  </w:style>
  <w:style w:type="paragraph" w:styleId="CommentText">
    <w:name w:val="annotation text"/>
    <w:basedOn w:val="Normal"/>
    <w:link w:val="CommentTextChar"/>
    <w:uiPriority w:val="99"/>
    <w:unhideWhenUsed/>
    <w:rsid w:val="00AE7773"/>
    <w:pPr>
      <w:spacing w:line="240" w:lineRule="auto"/>
    </w:pPr>
    <w:rPr>
      <w:sz w:val="20"/>
      <w:szCs w:val="20"/>
    </w:rPr>
  </w:style>
  <w:style w:type="character" w:customStyle="1" w:styleId="CommentTextChar">
    <w:name w:val="Comment Text Char"/>
    <w:basedOn w:val="DefaultParagraphFont"/>
    <w:link w:val="CommentText"/>
    <w:uiPriority w:val="99"/>
    <w:rsid w:val="00AE7773"/>
    <w:rPr>
      <w:rFonts w:ascii="Times New Roman" w:hAnsi="Times New Roman"/>
      <w:sz w:val="20"/>
      <w:szCs w:val="20"/>
    </w:rPr>
  </w:style>
  <w:style w:type="paragraph" w:styleId="NoSpacing">
    <w:name w:val="No Spacing"/>
    <w:uiPriority w:val="1"/>
    <w:qFormat/>
    <w:rsid w:val="0031161D"/>
    <w:pPr>
      <w:spacing w:after="0" w:line="240" w:lineRule="auto"/>
      <w:ind w:firstLine="720"/>
    </w:pPr>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3C11C9"/>
    <w:rPr>
      <w:b/>
      <w:bCs/>
    </w:rPr>
  </w:style>
  <w:style w:type="character" w:customStyle="1" w:styleId="CommentSubjectChar">
    <w:name w:val="Comment Subject Char"/>
    <w:basedOn w:val="CommentTextChar"/>
    <w:link w:val="CommentSubject"/>
    <w:uiPriority w:val="99"/>
    <w:semiHidden/>
    <w:rsid w:val="003C11C9"/>
    <w:rPr>
      <w:rFonts w:ascii="Times New Roman" w:hAnsi="Times New Roman"/>
      <w:b/>
      <w:bCs/>
      <w:sz w:val="20"/>
      <w:szCs w:val="20"/>
    </w:rPr>
  </w:style>
  <w:style w:type="paragraph" w:styleId="Header">
    <w:name w:val="header"/>
    <w:basedOn w:val="Normal"/>
    <w:uiPriority w:val="99"/>
    <w:unhideWhenUsed/>
    <w:rsid w:val="10C197DD"/>
    <w:pPr>
      <w:tabs>
        <w:tab w:val="center" w:pos="4680"/>
        <w:tab w:val="right" w:pos="9360"/>
      </w:tabs>
    </w:pPr>
  </w:style>
  <w:style w:type="paragraph" w:styleId="Footer">
    <w:name w:val="footer"/>
    <w:basedOn w:val="Normal"/>
    <w:uiPriority w:val="99"/>
    <w:unhideWhenUsed/>
    <w:rsid w:val="10C197DD"/>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8A9050D09D54E8F7EAD4B354DF52D" ma:contentTypeVersion="8" ma:contentTypeDescription="Create a new document." ma:contentTypeScope="" ma:versionID="2986fa36f55d7a6d8ec810c5f44cd2b4">
  <xsd:schema xmlns:xsd="http://www.w3.org/2001/XMLSchema" xmlns:xs="http://www.w3.org/2001/XMLSchema" xmlns:p="http://schemas.microsoft.com/office/2006/metadata/properties" xmlns:ns2="1a526d1f-7711-45f1-b11d-c593fba63755" targetNamespace="http://schemas.microsoft.com/office/2006/metadata/properties" ma:root="true" ma:fieldsID="1a3c3bd6e04cce360daf3317bfecc7e0" ns2:_="">
    <xsd:import namespace="1a526d1f-7711-45f1-b11d-c593fba637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26d1f-7711-45f1-b11d-c593fba63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05713-248C-4F8C-97FA-7AC04C747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440CC-114F-4D9E-B98D-B37CF4954B68}">
  <ds:schemaRefs>
    <ds:schemaRef ds:uri="http://schemas.microsoft.com/sharepoint/v3/contenttype/forms"/>
  </ds:schemaRefs>
</ds:datastoreItem>
</file>

<file path=customXml/itemProps3.xml><?xml version="1.0" encoding="utf-8"?>
<ds:datastoreItem xmlns:ds="http://schemas.openxmlformats.org/officeDocument/2006/customXml" ds:itemID="{7FE6337B-1E03-4147-916C-16B6378D2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26d1f-7711-45f1-b11d-c593fba63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Davies, Louise</cp:lastModifiedBy>
  <cp:revision>2</cp:revision>
  <dcterms:created xsi:type="dcterms:W3CDTF">2025-10-01T10:24:00Z</dcterms:created>
  <dcterms:modified xsi:type="dcterms:W3CDTF">2025-10-01T10:24:00Z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0x0101006908A9050D09D54E8F7EAD4B354DF52D</vt:lpwstr>
  </property>
</Properties>
</file>